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Schedule 32 (Background Checks) </w:t>
      </w:r>
    </w:p>
    <w:p w:rsidR="00000000" w:rsidDel="00000000" w:rsidP="00000000" w:rsidRDefault="00000000" w:rsidRPr="00000000" w14:paraId="0000000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3.1.1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hanging="212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sectPr>
      <w:headerReference r:id="rId7" w:type="default"/>
      <w:footerReference r:id="rId8" w:type="default"/>
      <w:footerReference r:id="rId9" w:type="first"/>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16">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Mid-Tier Contract</w:t>
      <w:tab/>
      <w:t xml:space="preserve">                                           </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v1.0</w:t>
    </w:r>
    <w:bookmarkStart w:colFirst="0" w:colLast="0" w:name="bookmark=id.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32 (Background Checks)</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2019</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F9bChfJo7lQsoHyxww4AYt2pvg==">AMUW2mXt46rhk3Sm7Ny3SIvjpr0S/1ICXokx0p8yrVFZtn/zrXiMvuc+xO3kHkB1yKtyzAlm2qIq5/iFQP+cR1PazY9F2BXdYsS/ItDthWaFExkykpmlHQqsWG04uoiEByEwY4ARU7NjK6kscIVNo6PU9EXBYhm3QVjZqFTBAT0eWTqGpD21zghu5SqDoo0vMWIKUtANMpZE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2019-05-01T19:09:00Z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